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CC3E9" w14:textId="77777777" w:rsidR="003D1468" w:rsidRPr="00603D9B" w:rsidRDefault="00000000">
      <w:pPr>
        <w:pStyle w:val="Heading1"/>
        <w:jc w:val="center"/>
        <w:rPr>
          <w:color w:val="000000" w:themeColor="text1"/>
        </w:rPr>
      </w:pPr>
      <w:r w:rsidRPr="00603D9B">
        <w:rPr>
          <w:color w:val="000000" w:themeColor="text1"/>
        </w:rPr>
        <w:t>General Conditions of Business</w:t>
      </w:r>
    </w:p>
    <w:p w14:paraId="36C4B8DB" w14:textId="77777777" w:rsidR="003D1468" w:rsidRPr="00603D9B" w:rsidRDefault="00000000">
      <w:pPr>
        <w:rPr>
          <w:color w:val="000000" w:themeColor="text1"/>
        </w:rPr>
      </w:pPr>
      <w:r w:rsidRPr="00603D9B">
        <w:rPr>
          <w:color w:val="000000" w:themeColor="text1"/>
        </w:rPr>
        <w:t>Simon Mills Valuer (ABN 80 510 963 984)</w:t>
      </w:r>
    </w:p>
    <w:p w14:paraId="33F48306" w14:textId="77777777" w:rsidR="003D1468" w:rsidRPr="00603D9B" w:rsidRDefault="00000000">
      <w:pPr>
        <w:rPr>
          <w:color w:val="000000" w:themeColor="text1"/>
        </w:rPr>
      </w:pPr>
      <w:r w:rsidRPr="00603D9B">
        <w:rPr>
          <w:color w:val="000000" w:themeColor="text1"/>
        </w:rPr>
        <w:t>As at 26 February 2026</w:t>
      </w:r>
    </w:p>
    <w:p w14:paraId="46535260" w14:textId="77777777" w:rsidR="003D1468" w:rsidRPr="00603D9B" w:rsidRDefault="00000000">
      <w:pPr>
        <w:pStyle w:val="Heading2"/>
        <w:rPr>
          <w:color w:val="000000" w:themeColor="text1"/>
        </w:rPr>
      </w:pPr>
      <w:r w:rsidRPr="00603D9B">
        <w:rPr>
          <w:color w:val="000000" w:themeColor="text1"/>
        </w:rPr>
        <w:t>1. Application of These Conditions</w:t>
      </w:r>
    </w:p>
    <w:p w14:paraId="058BF483" w14:textId="77777777" w:rsidR="003D1468" w:rsidRPr="00603D9B" w:rsidRDefault="00000000">
      <w:pPr>
        <w:rPr>
          <w:color w:val="000000" w:themeColor="text1"/>
        </w:rPr>
      </w:pPr>
      <w:r w:rsidRPr="00603D9B">
        <w:rPr>
          <w:color w:val="000000" w:themeColor="text1"/>
        </w:rPr>
        <w:t>These General Conditions of Business apply to all valuation services, advisory services, private sale facilitation services, and any related professional services provided by Simon Mills Valuer (“the Company”, “we”, “us”, or “our”).</w:t>
      </w:r>
      <w:r w:rsidRPr="00603D9B">
        <w:rPr>
          <w:color w:val="000000" w:themeColor="text1"/>
        </w:rPr>
        <w:br/>
      </w:r>
      <w:r w:rsidRPr="00603D9B">
        <w:rPr>
          <w:color w:val="000000" w:themeColor="text1"/>
        </w:rPr>
        <w:br/>
        <w:t>By engaging the Company, the Client agrees to be bound by these Conditions.</w:t>
      </w:r>
    </w:p>
    <w:p w14:paraId="652FEB94" w14:textId="77777777" w:rsidR="003D1468" w:rsidRPr="00603D9B" w:rsidRDefault="00000000">
      <w:pPr>
        <w:pStyle w:val="Heading2"/>
        <w:rPr>
          <w:color w:val="000000" w:themeColor="text1"/>
        </w:rPr>
      </w:pPr>
      <w:r w:rsidRPr="00603D9B">
        <w:rPr>
          <w:color w:val="000000" w:themeColor="text1"/>
        </w:rPr>
        <w:t>2. Services</w:t>
      </w:r>
    </w:p>
    <w:p w14:paraId="7A6D6A1F" w14:textId="77777777" w:rsidR="003D1468" w:rsidRPr="00603D9B" w:rsidRDefault="00000000">
      <w:pPr>
        <w:rPr>
          <w:color w:val="000000" w:themeColor="text1"/>
        </w:rPr>
      </w:pPr>
      <w:r w:rsidRPr="00603D9B">
        <w:rPr>
          <w:color w:val="000000" w:themeColor="text1"/>
        </w:rPr>
        <w:t>The Company provides independent valuation and advisory services, including but not limited to written valuation reports, insurance valuations, probate and estate valuations, family law valuations, market appraisals, private sale facilitation (where agreed in writing), and collection management advice.</w:t>
      </w:r>
      <w:r w:rsidRPr="00603D9B">
        <w:rPr>
          <w:color w:val="000000" w:themeColor="text1"/>
        </w:rPr>
        <w:br/>
      </w:r>
      <w:r w:rsidRPr="00603D9B">
        <w:rPr>
          <w:color w:val="000000" w:themeColor="text1"/>
        </w:rPr>
        <w:br/>
        <w:t>The scope of services will be set out in writing prior to commencement. Any variation to the agreed scope must be confirmed in writing.</w:t>
      </w:r>
    </w:p>
    <w:p w14:paraId="528D33E7" w14:textId="77777777" w:rsidR="003D1468" w:rsidRPr="00603D9B" w:rsidRDefault="00000000">
      <w:pPr>
        <w:pStyle w:val="Heading2"/>
        <w:rPr>
          <w:color w:val="000000" w:themeColor="text1"/>
        </w:rPr>
      </w:pPr>
      <w:r w:rsidRPr="00603D9B">
        <w:rPr>
          <w:color w:val="000000" w:themeColor="text1"/>
        </w:rPr>
        <w:t>3. Engagement</w:t>
      </w:r>
    </w:p>
    <w:p w14:paraId="0E0CFC83" w14:textId="77777777" w:rsidR="003D1468" w:rsidRPr="00603D9B" w:rsidRDefault="00000000">
      <w:pPr>
        <w:rPr>
          <w:color w:val="000000" w:themeColor="text1"/>
        </w:rPr>
      </w:pPr>
      <w:r w:rsidRPr="00603D9B">
        <w:rPr>
          <w:color w:val="000000" w:themeColor="text1"/>
        </w:rPr>
        <w:t>An engagement is formed when the Client accepts a written fee proposal or instructs the Company to proceed.</w:t>
      </w:r>
      <w:r w:rsidRPr="00603D9B">
        <w:rPr>
          <w:color w:val="000000" w:themeColor="text1"/>
        </w:rPr>
        <w:br/>
      </w:r>
      <w:r w:rsidRPr="00603D9B">
        <w:rPr>
          <w:color w:val="000000" w:themeColor="text1"/>
        </w:rPr>
        <w:br/>
        <w:t>The Company may decline to provide services at its discretion. The Company may rely on information provided by the Client or third parties without independent verification unless otherwise agreed.</w:t>
      </w:r>
    </w:p>
    <w:p w14:paraId="233FEE08" w14:textId="77777777" w:rsidR="003D1468" w:rsidRPr="00603D9B" w:rsidRDefault="00000000">
      <w:pPr>
        <w:pStyle w:val="Heading2"/>
        <w:rPr>
          <w:color w:val="000000" w:themeColor="text1"/>
        </w:rPr>
      </w:pPr>
      <w:r w:rsidRPr="00603D9B">
        <w:rPr>
          <w:color w:val="000000" w:themeColor="text1"/>
        </w:rPr>
        <w:t>4. Fees and Payment</w:t>
      </w:r>
    </w:p>
    <w:p w14:paraId="669B6479" w14:textId="77777777" w:rsidR="003D1468" w:rsidRPr="00603D9B" w:rsidRDefault="00000000">
      <w:pPr>
        <w:rPr>
          <w:color w:val="000000" w:themeColor="text1"/>
        </w:rPr>
      </w:pPr>
      <w:r w:rsidRPr="00603D9B">
        <w:rPr>
          <w:color w:val="000000" w:themeColor="text1"/>
        </w:rPr>
        <w:t>Fees will be charged as agreed in writing or, where not specified, at the Company’s standard rates.</w:t>
      </w:r>
      <w:r w:rsidRPr="00603D9B">
        <w:rPr>
          <w:color w:val="000000" w:themeColor="text1"/>
        </w:rPr>
        <w:br/>
      </w:r>
      <w:r w:rsidRPr="00603D9B">
        <w:rPr>
          <w:color w:val="000000" w:themeColor="text1"/>
        </w:rPr>
        <w:br/>
        <w:t>Unless otherwise agreed, invoices are payable within fourteen (14) days of issue.</w:t>
      </w:r>
      <w:r w:rsidRPr="00603D9B">
        <w:rPr>
          <w:color w:val="000000" w:themeColor="text1"/>
        </w:rPr>
        <w:br/>
      </w:r>
      <w:r w:rsidRPr="00603D9B">
        <w:rPr>
          <w:color w:val="000000" w:themeColor="text1"/>
        </w:rPr>
        <w:br/>
        <w:t>Interest may be charged on overdue amounts at the rate prescribed under the Penalty Interest Rate Act 1983 (Vic).</w:t>
      </w:r>
      <w:r w:rsidRPr="00603D9B">
        <w:rPr>
          <w:color w:val="000000" w:themeColor="text1"/>
        </w:rPr>
        <w:br/>
      </w:r>
      <w:r w:rsidRPr="00603D9B">
        <w:rPr>
          <w:color w:val="000000" w:themeColor="text1"/>
        </w:rPr>
        <w:br/>
        <w:t>The Client is responsible for any additional costs incurred in connection with the services, including specialist reports, travel, photography, transport, or storage, where applicable.</w:t>
      </w:r>
    </w:p>
    <w:p w14:paraId="726A5F4E" w14:textId="77777777" w:rsidR="003D1468" w:rsidRPr="00603D9B" w:rsidRDefault="00000000">
      <w:pPr>
        <w:pStyle w:val="Heading2"/>
        <w:rPr>
          <w:color w:val="000000" w:themeColor="text1"/>
        </w:rPr>
      </w:pPr>
      <w:r w:rsidRPr="00603D9B">
        <w:rPr>
          <w:color w:val="000000" w:themeColor="text1"/>
        </w:rPr>
        <w:lastRenderedPageBreak/>
        <w:t>5. Client Warranties</w:t>
      </w:r>
    </w:p>
    <w:p w14:paraId="75D71C02" w14:textId="77777777" w:rsidR="003D1468" w:rsidRPr="00603D9B" w:rsidRDefault="00000000">
      <w:pPr>
        <w:rPr>
          <w:color w:val="000000" w:themeColor="text1"/>
        </w:rPr>
      </w:pPr>
      <w:r w:rsidRPr="00603D9B">
        <w:rPr>
          <w:color w:val="000000" w:themeColor="text1"/>
        </w:rPr>
        <w:t>The Client warrants that they are the legal owner of the property submitted for valuation or are authorised by the owner; that all information provided is accurate and complete; and that there are no undisclosed encumbrances, disputes, or third-party interests affecting the property.</w:t>
      </w:r>
      <w:r w:rsidRPr="00603D9B">
        <w:rPr>
          <w:color w:val="000000" w:themeColor="text1"/>
        </w:rPr>
        <w:br/>
      </w:r>
      <w:r w:rsidRPr="00603D9B">
        <w:rPr>
          <w:color w:val="000000" w:themeColor="text1"/>
        </w:rPr>
        <w:br/>
        <w:t>The Company is entitled to rely on these warranties.</w:t>
      </w:r>
    </w:p>
    <w:p w14:paraId="585A6F7D" w14:textId="77777777" w:rsidR="003D1468" w:rsidRPr="00603D9B" w:rsidRDefault="00000000">
      <w:pPr>
        <w:pStyle w:val="Heading2"/>
        <w:rPr>
          <w:color w:val="000000" w:themeColor="text1"/>
        </w:rPr>
      </w:pPr>
      <w:r w:rsidRPr="00603D9B">
        <w:rPr>
          <w:color w:val="000000" w:themeColor="text1"/>
        </w:rPr>
        <w:t>6. Reports and Reliance</w:t>
      </w:r>
    </w:p>
    <w:p w14:paraId="2073E481" w14:textId="77777777" w:rsidR="003D1468" w:rsidRPr="00603D9B" w:rsidRDefault="00000000">
      <w:pPr>
        <w:rPr>
          <w:color w:val="000000" w:themeColor="text1"/>
        </w:rPr>
      </w:pPr>
      <w:r w:rsidRPr="00603D9B">
        <w:rPr>
          <w:color w:val="000000" w:themeColor="text1"/>
        </w:rPr>
        <w:t>Valuation reports represent the professional opinion of the Company at the date of inspection or report.</w:t>
      </w:r>
      <w:r w:rsidRPr="00603D9B">
        <w:rPr>
          <w:color w:val="000000" w:themeColor="text1"/>
        </w:rPr>
        <w:br/>
      </w:r>
      <w:r w:rsidRPr="00603D9B">
        <w:rPr>
          <w:color w:val="000000" w:themeColor="text1"/>
        </w:rPr>
        <w:br/>
        <w:t>Valuations are based on market conditions and information available at the time and may change over time.</w:t>
      </w:r>
      <w:r w:rsidRPr="00603D9B">
        <w:rPr>
          <w:color w:val="000000" w:themeColor="text1"/>
        </w:rPr>
        <w:br/>
      </w:r>
      <w:r w:rsidRPr="00603D9B">
        <w:rPr>
          <w:color w:val="000000" w:themeColor="text1"/>
        </w:rPr>
        <w:br/>
        <w:t>A report is prepared solely for the purpose stated in the report and may not be relied upon by any third party without prior written consent.</w:t>
      </w:r>
      <w:r w:rsidRPr="00603D9B">
        <w:rPr>
          <w:color w:val="000000" w:themeColor="text1"/>
        </w:rPr>
        <w:br/>
      </w:r>
      <w:r w:rsidRPr="00603D9B">
        <w:rPr>
          <w:color w:val="000000" w:themeColor="text1"/>
        </w:rPr>
        <w:br/>
        <w:t>The Company does not guarantee that any item will achieve a particular sale price.</w:t>
      </w:r>
    </w:p>
    <w:p w14:paraId="1911F764" w14:textId="77777777" w:rsidR="003D1468" w:rsidRPr="00603D9B" w:rsidRDefault="00000000">
      <w:pPr>
        <w:pStyle w:val="Heading2"/>
        <w:rPr>
          <w:color w:val="000000" w:themeColor="text1"/>
        </w:rPr>
      </w:pPr>
      <w:r w:rsidRPr="00603D9B">
        <w:rPr>
          <w:color w:val="000000" w:themeColor="text1"/>
        </w:rPr>
        <w:t>7. Limitation of Liability</w:t>
      </w:r>
    </w:p>
    <w:p w14:paraId="614C7897" w14:textId="77777777" w:rsidR="003D1468" w:rsidRPr="00603D9B" w:rsidRDefault="00000000">
      <w:pPr>
        <w:rPr>
          <w:color w:val="000000" w:themeColor="text1"/>
        </w:rPr>
      </w:pPr>
      <w:r w:rsidRPr="00603D9B">
        <w:rPr>
          <w:color w:val="000000" w:themeColor="text1"/>
        </w:rPr>
        <w:t>To the extent permitted by law, the Company’s liability is limited to the amount of fees paid for the relevant service.</w:t>
      </w:r>
      <w:r w:rsidRPr="00603D9B">
        <w:rPr>
          <w:color w:val="000000" w:themeColor="text1"/>
        </w:rPr>
        <w:br/>
      </w:r>
      <w:r w:rsidRPr="00603D9B">
        <w:rPr>
          <w:color w:val="000000" w:themeColor="text1"/>
        </w:rPr>
        <w:br/>
        <w:t>The Company is not liable for indirect, consequential, or economic loss.</w:t>
      </w:r>
      <w:r w:rsidRPr="00603D9B">
        <w:rPr>
          <w:color w:val="000000" w:themeColor="text1"/>
        </w:rPr>
        <w:br/>
      </w:r>
      <w:r w:rsidRPr="00603D9B">
        <w:rPr>
          <w:color w:val="000000" w:themeColor="text1"/>
        </w:rPr>
        <w:br/>
        <w:t>Nothing in these Conditions excludes rights under Australian Consumer Law.</w:t>
      </w:r>
    </w:p>
    <w:p w14:paraId="4DBB1AB6" w14:textId="77777777" w:rsidR="003D1468" w:rsidRPr="00603D9B" w:rsidRDefault="00000000">
      <w:pPr>
        <w:pStyle w:val="Heading2"/>
        <w:rPr>
          <w:color w:val="000000" w:themeColor="text1"/>
        </w:rPr>
      </w:pPr>
      <w:r w:rsidRPr="00603D9B">
        <w:rPr>
          <w:color w:val="000000" w:themeColor="text1"/>
        </w:rPr>
        <w:t>8. Risk and Insurance</w:t>
      </w:r>
    </w:p>
    <w:p w14:paraId="1DFC9A80" w14:textId="77777777" w:rsidR="003D1468" w:rsidRPr="00603D9B" w:rsidRDefault="00000000">
      <w:pPr>
        <w:rPr>
          <w:color w:val="000000" w:themeColor="text1"/>
        </w:rPr>
      </w:pPr>
      <w:r w:rsidRPr="00603D9B">
        <w:rPr>
          <w:color w:val="000000" w:themeColor="text1"/>
        </w:rPr>
        <w:t>Where goods are left in the custody of the Company, risk remains with the Client unless otherwise agreed in writing.</w:t>
      </w:r>
      <w:r w:rsidRPr="00603D9B">
        <w:rPr>
          <w:color w:val="000000" w:themeColor="text1"/>
        </w:rPr>
        <w:br/>
      </w:r>
      <w:r w:rsidRPr="00603D9B">
        <w:rPr>
          <w:color w:val="000000" w:themeColor="text1"/>
        </w:rPr>
        <w:br/>
        <w:t>The Client is responsible for maintaining appropriate insurance coverage.</w:t>
      </w:r>
    </w:p>
    <w:p w14:paraId="7EBFE6EE" w14:textId="77777777" w:rsidR="003D1468" w:rsidRPr="00603D9B" w:rsidRDefault="00000000">
      <w:pPr>
        <w:pStyle w:val="Heading2"/>
        <w:rPr>
          <w:color w:val="000000" w:themeColor="text1"/>
        </w:rPr>
      </w:pPr>
      <w:r w:rsidRPr="00603D9B">
        <w:rPr>
          <w:color w:val="000000" w:themeColor="text1"/>
        </w:rPr>
        <w:t>9. Storage</w:t>
      </w:r>
    </w:p>
    <w:p w14:paraId="230B2EC6" w14:textId="77777777" w:rsidR="003D1468" w:rsidRPr="00603D9B" w:rsidRDefault="00000000">
      <w:pPr>
        <w:rPr>
          <w:color w:val="000000" w:themeColor="text1"/>
        </w:rPr>
      </w:pPr>
      <w:r w:rsidRPr="00603D9B">
        <w:rPr>
          <w:color w:val="000000" w:themeColor="text1"/>
        </w:rPr>
        <w:t>Storage of goods will only occur where agreed in writing. Storage fees may apply.</w:t>
      </w:r>
      <w:r w:rsidRPr="00603D9B">
        <w:rPr>
          <w:color w:val="000000" w:themeColor="text1"/>
        </w:rPr>
        <w:br/>
      </w:r>
      <w:r w:rsidRPr="00603D9B">
        <w:rPr>
          <w:color w:val="000000" w:themeColor="text1"/>
        </w:rPr>
        <w:br/>
        <w:t>The Client must collect goods within the agreed timeframe.</w:t>
      </w:r>
    </w:p>
    <w:p w14:paraId="7F0E3492" w14:textId="77777777" w:rsidR="003D1468" w:rsidRPr="00603D9B" w:rsidRDefault="00000000">
      <w:pPr>
        <w:pStyle w:val="Heading2"/>
        <w:rPr>
          <w:color w:val="000000" w:themeColor="text1"/>
        </w:rPr>
      </w:pPr>
      <w:r w:rsidRPr="00603D9B">
        <w:rPr>
          <w:color w:val="000000" w:themeColor="text1"/>
        </w:rPr>
        <w:t>10. Confidentiality</w:t>
      </w:r>
    </w:p>
    <w:p w14:paraId="5F03D2A7" w14:textId="77777777" w:rsidR="003D1468" w:rsidRPr="00603D9B" w:rsidRDefault="00000000">
      <w:pPr>
        <w:rPr>
          <w:color w:val="000000" w:themeColor="text1"/>
        </w:rPr>
      </w:pPr>
      <w:r w:rsidRPr="00603D9B">
        <w:rPr>
          <w:color w:val="000000" w:themeColor="text1"/>
        </w:rPr>
        <w:t>The Company will treat Client information as confidential.</w:t>
      </w:r>
      <w:r w:rsidRPr="00603D9B">
        <w:rPr>
          <w:color w:val="000000" w:themeColor="text1"/>
        </w:rPr>
        <w:br/>
      </w:r>
      <w:r w:rsidRPr="00603D9B">
        <w:rPr>
          <w:color w:val="000000" w:themeColor="text1"/>
        </w:rPr>
        <w:br/>
        <w:t>Information may be disclosed where required by law or professional obligation.</w:t>
      </w:r>
    </w:p>
    <w:p w14:paraId="30B53632" w14:textId="77777777" w:rsidR="003D1468" w:rsidRPr="00603D9B" w:rsidRDefault="00000000">
      <w:pPr>
        <w:pStyle w:val="Heading2"/>
        <w:rPr>
          <w:color w:val="000000" w:themeColor="text1"/>
        </w:rPr>
      </w:pPr>
      <w:r w:rsidRPr="00603D9B">
        <w:rPr>
          <w:color w:val="000000" w:themeColor="text1"/>
        </w:rPr>
        <w:lastRenderedPageBreak/>
        <w:t>11. Privacy</w:t>
      </w:r>
    </w:p>
    <w:p w14:paraId="32ECFABA" w14:textId="77777777" w:rsidR="003D1468" w:rsidRPr="00603D9B" w:rsidRDefault="00000000">
      <w:pPr>
        <w:rPr>
          <w:color w:val="000000" w:themeColor="text1"/>
        </w:rPr>
      </w:pPr>
      <w:r w:rsidRPr="00603D9B">
        <w:rPr>
          <w:color w:val="000000" w:themeColor="text1"/>
        </w:rPr>
        <w:t>The Company collects and stores personal information in accordance with its Privacy Policy.</w:t>
      </w:r>
    </w:p>
    <w:p w14:paraId="485B6DE3" w14:textId="77777777" w:rsidR="003D1468" w:rsidRPr="00603D9B" w:rsidRDefault="00000000">
      <w:pPr>
        <w:pStyle w:val="Heading2"/>
        <w:rPr>
          <w:color w:val="000000" w:themeColor="text1"/>
        </w:rPr>
      </w:pPr>
      <w:r w:rsidRPr="00603D9B">
        <w:rPr>
          <w:color w:val="000000" w:themeColor="text1"/>
        </w:rPr>
        <w:t>12. Intellectual Property</w:t>
      </w:r>
    </w:p>
    <w:p w14:paraId="76937FC5" w14:textId="77777777" w:rsidR="003D1468" w:rsidRPr="00603D9B" w:rsidRDefault="00000000">
      <w:pPr>
        <w:rPr>
          <w:color w:val="000000" w:themeColor="text1"/>
        </w:rPr>
      </w:pPr>
      <w:r w:rsidRPr="00603D9B">
        <w:rPr>
          <w:color w:val="000000" w:themeColor="text1"/>
        </w:rPr>
        <w:t>All reports, photographs, and documentation prepared by the Company remain the intellectual property of the Company unless otherwise agreed in writing.</w:t>
      </w:r>
    </w:p>
    <w:p w14:paraId="13998E66" w14:textId="77777777" w:rsidR="003D1468" w:rsidRPr="00603D9B" w:rsidRDefault="00000000">
      <w:pPr>
        <w:pStyle w:val="Heading2"/>
        <w:rPr>
          <w:color w:val="000000" w:themeColor="text1"/>
        </w:rPr>
      </w:pPr>
      <w:r w:rsidRPr="00603D9B">
        <w:rPr>
          <w:color w:val="000000" w:themeColor="text1"/>
        </w:rPr>
        <w:t>13. Termination</w:t>
      </w:r>
    </w:p>
    <w:p w14:paraId="04F88CD7" w14:textId="77777777" w:rsidR="003D1468" w:rsidRPr="00603D9B" w:rsidRDefault="00000000">
      <w:pPr>
        <w:rPr>
          <w:color w:val="000000" w:themeColor="text1"/>
        </w:rPr>
      </w:pPr>
      <w:r w:rsidRPr="00603D9B">
        <w:rPr>
          <w:color w:val="000000" w:themeColor="text1"/>
        </w:rPr>
        <w:t>Either party may terminate the engagement by written notice.</w:t>
      </w:r>
      <w:r w:rsidRPr="00603D9B">
        <w:rPr>
          <w:color w:val="000000" w:themeColor="text1"/>
        </w:rPr>
        <w:br/>
      </w:r>
      <w:r w:rsidRPr="00603D9B">
        <w:rPr>
          <w:color w:val="000000" w:themeColor="text1"/>
        </w:rPr>
        <w:br/>
        <w:t>The Client remains liable for fees incurred up to the date of termination.</w:t>
      </w:r>
    </w:p>
    <w:p w14:paraId="4E3FC6E8" w14:textId="77777777" w:rsidR="003D1468" w:rsidRPr="00603D9B" w:rsidRDefault="00000000">
      <w:pPr>
        <w:pStyle w:val="Heading2"/>
        <w:rPr>
          <w:color w:val="000000" w:themeColor="text1"/>
        </w:rPr>
      </w:pPr>
      <w:r w:rsidRPr="00603D9B">
        <w:rPr>
          <w:color w:val="000000" w:themeColor="text1"/>
        </w:rPr>
        <w:t>14. Governing Law</w:t>
      </w:r>
    </w:p>
    <w:p w14:paraId="7FBE91F6" w14:textId="77777777" w:rsidR="003D1468" w:rsidRPr="00603D9B" w:rsidRDefault="00000000">
      <w:pPr>
        <w:rPr>
          <w:color w:val="000000" w:themeColor="text1"/>
        </w:rPr>
      </w:pPr>
      <w:r w:rsidRPr="00603D9B">
        <w:rPr>
          <w:color w:val="000000" w:themeColor="text1"/>
        </w:rPr>
        <w:t>These Conditions are governed by the laws of Victoria, Australia.</w:t>
      </w:r>
      <w:r w:rsidRPr="00603D9B">
        <w:rPr>
          <w:color w:val="000000" w:themeColor="text1"/>
        </w:rPr>
        <w:br/>
      </w:r>
      <w:r w:rsidRPr="00603D9B">
        <w:rPr>
          <w:color w:val="000000" w:themeColor="text1"/>
        </w:rPr>
        <w:br/>
        <w:t>The parties submit to the jurisdiction of the courts of Victoria.</w:t>
      </w:r>
    </w:p>
    <w:sectPr w:rsidR="003D1468" w:rsidRPr="00603D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7876285">
    <w:abstractNumId w:val="8"/>
  </w:num>
  <w:num w:numId="2" w16cid:durableId="1367558470">
    <w:abstractNumId w:val="6"/>
  </w:num>
  <w:num w:numId="3" w16cid:durableId="634800440">
    <w:abstractNumId w:val="5"/>
  </w:num>
  <w:num w:numId="4" w16cid:durableId="771828158">
    <w:abstractNumId w:val="4"/>
  </w:num>
  <w:num w:numId="5" w16cid:durableId="1852639768">
    <w:abstractNumId w:val="7"/>
  </w:num>
  <w:num w:numId="6" w16cid:durableId="966814831">
    <w:abstractNumId w:val="3"/>
  </w:num>
  <w:num w:numId="7" w16cid:durableId="1222643174">
    <w:abstractNumId w:val="2"/>
  </w:num>
  <w:num w:numId="8" w16cid:durableId="1427732158">
    <w:abstractNumId w:val="1"/>
  </w:num>
  <w:num w:numId="9" w16cid:durableId="37855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1468"/>
    <w:rsid w:val="00603D9B"/>
    <w:rsid w:val="006D7C57"/>
    <w:rsid w:val="006E60E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BA006"/>
  <w14:defaultImageDpi w14:val="300"/>
  <w15:docId w15:val="{02114D0F-5097-5545-8FB3-6A16AF64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 Mills</cp:lastModifiedBy>
  <cp:revision>3</cp:revision>
  <dcterms:created xsi:type="dcterms:W3CDTF">2026-02-26T04:13:00Z</dcterms:created>
  <dcterms:modified xsi:type="dcterms:W3CDTF">2026-02-26T04:13:00Z</dcterms:modified>
  <cp:category/>
</cp:coreProperties>
</file>